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57" w:rsidRPr="00B35A57" w:rsidRDefault="00197DFC" w:rsidP="00B35A57">
      <w:pPr>
        <w:rPr>
          <w:rFonts w:ascii="Sylfaen" w:hAnsi="Sylfaen"/>
          <w:b/>
          <w:bCs/>
          <w:color w:val="000000"/>
          <w:bdr w:val="none" w:sz="0" w:space="0" w:color="auto" w:frame="1"/>
        </w:rPr>
      </w:pPr>
      <w:r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>Հայտարարություն</w:t>
      </w:r>
      <w:r w:rsidRPr="00D73958">
        <w:rPr>
          <w:rFonts w:ascii="Sylfaen" w:hAnsi="Sylfaen"/>
          <w:b/>
          <w:color w:val="000000"/>
          <w:sz w:val="24"/>
          <w:szCs w:val="24"/>
          <w:bdr w:val="none" w:sz="0" w:space="0" w:color="auto" w:frame="1"/>
          <w:lang w:val="hy-AM"/>
        </w:rPr>
        <w:t xml:space="preserve"> </w:t>
      </w:r>
      <w:proofErr w:type="spellStart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Տիգրան</w:t>
      </w:r>
      <w:proofErr w:type="spellEnd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Ավինյանն</w:t>
      </w:r>
      <w:proofErr w:type="spellEnd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ընդդեմ</w:t>
      </w:r>
      <w:proofErr w:type="spellEnd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«168 </w:t>
      </w:r>
      <w:proofErr w:type="spellStart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ժամ</w:t>
      </w:r>
      <w:proofErr w:type="spellEnd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» ՍՊԸ -ի և </w:t>
      </w:r>
      <w:proofErr w:type="spellStart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լրագրող</w:t>
      </w:r>
      <w:proofErr w:type="spellEnd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Դավիթ</w:t>
      </w:r>
      <w:proofErr w:type="spellEnd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Սարգսյանի</w:t>
      </w:r>
      <w:proofErr w:type="spellEnd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գործով</w:t>
      </w:r>
      <w:proofErr w:type="spellEnd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հայցի</w:t>
      </w:r>
      <w:proofErr w:type="spellEnd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ապահովում</w:t>
      </w:r>
      <w:proofErr w:type="spellEnd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կիրառելու</w:t>
      </w:r>
      <w:proofErr w:type="spellEnd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՝ </w:t>
      </w:r>
      <w:proofErr w:type="spellStart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դատարանի</w:t>
      </w:r>
      <w:proofErr w:type="spellEnd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աննախադեպ</w:t>
      </w:r>
      <w:proofErr w:type="spellEnd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որոշման</w:t>
      </w:r>
      <w:proofErr w:type="spellEnd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147E3" w:rsidRPr="00D147E3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կապակցությամբ</w:t>
      </w:r>
      <w:proofErr w:type="spellEnd"/>
    </w:p>
    <w:p w:rsidR="00593712" w:rsidRPr="00B35A57" w:rsidRDefault="00B35A57" w:rsidP="00B35A57">
      <w:pPr>
        <w:shd w:val="clear" w:color="auto" w:fill="FFFFFF"/>
        <w:spacing w:after="0" w:line="240" w:lineRule="auto"/>
        <w:jc w:val="right"/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</w:pPr>
      <w:r w:rsidRPr="00B35A57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</w:rPr>
        <w:t> </w:t>
      </w:r>
      <w:r w:rsidR="00C425FD">
        <w:rPr>
          <w:rFonts w:ascii="Sylfaen" w:eastAsia="Times New Roman" w:hAnsi="Sylfaen" w:cs="Segoe UI Historic"/>
          <w:b/>
          <w:color w:val="050505"/>
          <w:lang w:val="hy-AM"/>
        </w:rPr>
        <w:t>202</w:t>
      </w:r>
      <w:r w:rsidR="00C425FD">
        <w:rPr>
          <w:rFonts w:ascii="Sylfaen" w:eastAsia="Times New Roman" w:hAnsi="Sylfaen" w:cs="Segoe UI Historic"/>
          <w:b/>
          <w:color w:val="050505"/>
        </w:rPr>
        <w:t>3</w:t>
      </w:r>
      <w:r w:rsidR="0074774F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r w:rsidR="00FF5838">
        <w:rPr>
          <w:rFonts w:ascii="Sylfaen" w:eastAsia="Times New Roman" w:hAnsi="Sylfaen" w:cs="Segoe UI Historic"/>
          <w:b/>
          <w:color w:val="050505"/>
        </w:rPr>
        <w:t>12</w:t>
      </w:r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 </w:t>
      </w:r>
      <w:r w:rsidR="00FF5838">
        <w:rPr>
          <w:rFonts w:ascii="Sylfaen" w:hAnsi="Sylfaen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մայիսի</w:t>
      </w:r>
      <w:bookmarkStart w:id="0" w:name="_GoBack"/>
      <w:bookmarkEnd w:id="0"/>
      <w:r w:rsidR="00593712" w:rsidRPr="0027329F">
        <w:rPr>
          <w:rFonts w:ascii="Sylfaen" w:eastAsia="Times New Roman" w:hAnsi="Sylfaen" w:cs="Segoe UI Historic"/>
          <w:b/>
          <w:color w:val="050505"/>
          <w:lang w:val="hy-AM"/>
        </w:rPr>
        <w:t xml:space="preserve">, </w:t>
      </w:r>
      <w:proofErr w:type="spellStart"/>
      <w:r w:rsidR="00593712" w:rsidRPr="0027329F">
        <w:rPr>
          <w:rFonts w:ascii="Sylfaen" w:eastAsia="Times New Roman" w:hAnsi="Sylfaen" w:cs="Sylfaen"/>
          <w:b/>
          <w:color w:val="050505"/>
          <w:lang w:val="hy-AM"/>
        </w:rPr>
        <w:t>Երևան</w:t>
      </w:r>
      <w:proofErr w:type="spellEnd"/>
    </w:p>
    <w:p w:rsidR="00297428" w:rsidRPr="0074774F" w:rsidRDefault="00297428" w:rsidP="002451F8">
      <w:pPr>
        <w:shd w:val="clear" w:color="auto" w:fill="FFFFFF"/>
        <w:spacing w:after="0" w:line="240" w:lineRule="auto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p w:rsidR="000C0863" w:rsidRPr="000C0863" w:rsidRDefault="000C0863" w:rsidP="000C0863">
      <w:pPr>
        <w:spacing w:line="240" w:lineRule="auto"/>
        <w:rPr>
          <w:rFonts w:ascii="Sylfaen" w:hAnsi="Sylfaen"/>
          <w:sz w:val="24"/>
          <w:szCs w:val="24"/>
          <w:lang w:val="hy-AM"/>
        </w:rPr>
      </w:pPr>
      <w:r w:rsidRPr="000C0863">
        <w:rPr>
          <w:rFonts w:ascii="Sylfaen" w:hAnsi="Sylfaen"/>
          <w:sz w:val="24"/>
          <w:szCs w:val="24"/>
          <w:lang w:val="hy-AM"/>
        </w:rPr>
        <w:t>2023թ</w:t>
      </w:r>
      <w:r w:rsidRPr="000C0863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0C0863">
        <w:rPr>
          <w:rFonts w:ascii="Sylfaen" w:hAnsi="Sylfaen"/>
          <w:sz w:val="24"/>
          <w:szCs w:val="24"/>
          <w:lang w:val="hy-AM"/>
        </w:rPr>
        <w:t xml:space="preserve"> մարտի 31-ին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Երևանի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փոխքաղաքապետ Տիգրան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Ավինյանը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հայց է ներկայացրել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Երևանի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ընդհանուր իրավասության դատարան ընդդեմ «168 ժամ» ՍՊԸ -ի և լրագրող Դավիթ Սարգսյանի՝ ներողություն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խնդրելուն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, պատիվը, արժանապատվությունը և գործարար համբավն արատավորող տեղեկությունները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հերքելուն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պարտավորեցնելու և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պատասխանողներից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9 միլիոն դրամ փոխհատուցում բռնագանձելու պահանջներով։ Հայցի առիթը փետրվարի 25-ին «168</w:t>
      </w:r>
      <w:r w:rsidRPr="000C0863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0C0863">
        <w:rPr>
          <w:rFonts w:ascii="Sylfaen" w:hAnsi="Sylfaen"/>
          <w:sz w:val="24"/>
          <w:szCs w:val="24"/>
          <w:lang w:val="hy-AM"/>
        </w:rPr>
        <w:t>am</w:t>
      </w:r>
      <w:r w:rsidRPr="000C0863">
        <w:rPr>
          <w:rFonts w:ascii="Sylfaen" w:hAnsi="Sylfaen" w:cs="Sylfaen"/>
          <w:sz w:val="24"/>
          <w:szCs w:val="24"/>
          <w:lang w:val="hy-AM"/>
        </w:rPr>
        <w:t>»</w:t>
      </w:r>
      <w:r w:rsidRPr="000C0863">
        <w:rPr>
          <w:rFonts w:ascii="Sylfaen" w:hAnsi="Sylfaen"/>
          <w:sz w:val="24"/>
          <w:szCs w:val="24"/>
          <w:lang w:val="hy-AM"/>
        </w:rPr>
        <w:t xml:space="preserve"> կայքի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յութուբյան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ալիքում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հրապարակված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տեսանյութն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է՝ «Տիգրան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Ավինյան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. նորահայտ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մեծահարուստը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» վերնագրով, որի հեղինակը՝ Դավիթ Սարգսյանը,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փոխքաղաքապետին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>, մասնավորապես, ներկայացնում է որպես «անսահմանափակ վարչական ռեսուրսի տիրապետող» պաշտոնյա, որի ընտանիքը «անշեղորեն հարստանում է»։</w:t>
      </w:r>
    </w:p>
    <w:p w:rsidR="000C0863" w:rsidRPr="000C0863" w:rsidRDefault="000C0863" w:rsidP="000C0863">
      <w:pPr>
        <w:spacing w:line="240" w:lineRule="auto"/>
        <w:rPr>
          <w:rFonts w:ascii="Sylfaen" w:hAnsi="Sylfaen"/>
          <w:sz w:val="24"/>
          <w:szCs w:val="24"/>
          <w:lang w:val="hy-AM"/>
        </w:rPr>
      </w:pPr>
      <w:r w:rsidRPr="000C0863">
        <w:rPr>
          <w:rFonts w:ascii="Sylfaen" w:hAnsi="Sylfaen"/>
          <w:sz w:val="24"/>
          <w:szCs w:val="24"/>
          <w:lang w:val="hy-AM"/>
        </w:rPr>
        <w:t xml:space="preserve">Մայիսի 2-ին դատարանը վարույթ է ընդունել դատական գործն ու բավարարել է հայցվորի միջնորդությունը հայցի ապահովում կիրառելու մասին, այն է՝ 9 միլիոն դրամի չափով կալանք դնել լրագրողին և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լրատվամիջոցին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պատկանող գույքի և բանկային հաշիվների վրա։ Ըստ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պատախանողների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՝ այդ որոշումը կայացնելուց առաջ իրենց հետ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որևէ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քննարկում չի եղել, ավելին՝ իրենք չեն տեղեկացվել միջնորդության մասին և հնարավորություն չեն ունեցել ներկայացնելու իրենց առարկությունները:</w:t>
      </w:r>
    </w:p>
    <w:p w:rsidR="000C0863" w:rsidRPr="000C0863" w:rsidRDefault="000C0863" w:rsidP="000C0863">
      <w:pPr>
        <w:spacing w:line="240" w:lineRule="auto"/>
        <w:rPr>
          <w:rFonts w:ascii="Sylfaen" w:hAnsi="Sylfaen"/>
          <w:sz w:val="24"/>
          <w:szCs w:val="24"/>
          <w:lang w:val="hy-AM"/>
        </w:rPr>
      </w:pPr>
      <w:r w:rsidRPr="000C0863">
        <w:rPr>
          <w:rFonts w:ascii="Sylfaen" w:hAnsi="Sylfaen"/>
          <w:sz w:val="24"/>
          <w:szCs w:val="24"/>
          <w:lang w:val="hy-AM"/>
        </w:rPr>
        <w:t xml:space="preserve">Եթե այս տեղեկությունները հաստատվեն, վերադաս դատական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ատյաններն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ուղղակի պարտավոր են լինելու գնահատական տալ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Երևանի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ընդհանուր իրավասության դատարանի այս գործելակերպին։</w:t>
      </w:r>
    </w:p>
    <w:p w:rsidR="000C0863" w:rsidRPr="000C0863" w:rsidRDefault="000C0863" w:rsidP="000C0863">
      <w:pPr>
        <w:spacing w:line="240" w:lineRule="auto"/>
        <w:rPr>
          <w:rFonts w:ascii="Sylfaen" w:hAnsi="Sylfaen"/>
          <w:sz w:val="24"/>
          <w:szCs w:val="24"/>
          <w:lang w:val="hy-AM"/>
        </w:rPr>
      </w:pPr>
      <w:r w:rsidRPr="000C0863">
        <w:rPr>
          <w:rFonts w:ascii="Sylfaen" w:hAnsi="Sylfaen"/>
          <w:sz w:val="24"/>
          <w:szCs w:val="24"/>
          <w:lang w:val="hy-AM"/>
        </w:rPr>
        <w:t xml:space="preserve">Դատական ընթացակարգի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առերևույթ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խախտումներից զատ, այս գործում խիստ մտահոգիչ են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հետևյալ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փաստերը</w:t>
      </w:r>
      <w:r w:rsidRPr="000C0863">
        <w:rPr>
          <w:rFonts w:ascii="Times New Roman" w:hAnsi="Times New Roman" w:cs="Times New Roman"/>
          <w:sz w:val="24"/>
          <w:szCs w:val="24"/>
          <w:lang w:val="hy-AM"/>
        </w:rPr>
        <w:t>․</w:t>
      </w:r>
      <w:r w:rsidRPr="000C0863">
        <w:rPr>
          <w:rFonts w:ascii="Sylfaen" w:hAnsi="Sylfaen"/>
          <w:sz w:val="24"/>
          <w:szCs w:val="24"/>
          <w:lang w:val="hy-AM"/>
        </w:rPr>
        <w:t xml:space="preserve"> 1) լինելով բարձրաստիճան պաշտոնյա՝ Տիգրան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Ավինյանը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փորձ չի կատարել խնդիրը լուծել արտադատական կարգով, այդ թվում չի դիմել խմբագրությանը՝ հերքում հրապարակելու պահանջով, 2) գնալով դատարան՝ նա ներկայացրել է գումարային առավելագույն փոխհատուցման պահանջ, 3) չբավարարվելով դրանով՝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Ավինյանը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նաև այդ ահռելի գումարի չափով հայցի ապահովման միջոց կիրառելու միջնորդություն է ներկայացրել, որը նախադեպը չունի ընդդեմ լրագրողների ու լրատվամիջոցների դատական գործերի մեր բազմամյա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մշտադիտարկումների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ընթացքում, և 4) դատարանը անշեղորեն բավարարել է այդ պահանջը։</w:t>
      </w:r>
    </w:p>
    <w:p w:rsidR="000C0863" w:rsidRPr="000C0863" w:rsidRDefault="000C0863" w:rsidP="000C0863">
      <w:pPr>
        <w:spacing w:line="240" w:lineRule="auto"/>
        <w:rPr>
          <w:rFonts w:ascii="Sylfaen" w:hAnsi="Sylfaen"/>
          <w:sz w:val="24"/>
          <w:szCs w:val="24"/>
          <w:lang w:val="hy-AM"/>
        </w:rPr>
      </w:pPr>
      <w:r w:rsidRPr="000C0863">
        <w:rPr>
          <w:rFonts w:ascii="Sylfaen" w:hAnsi="Sylfaen"/>
          <w:sz w:val="24"/>
          <w:szCs w:val="24"/>
          <w:lang w:val="hy-AM"/>
        </w:rPr>
        <w:t xml:space="preserve">Առայժմ ձեռնպահ մնալով վիճարկվող նյութը գնահատելուց, դրանում վիրավորանքի և զրպարտության առկայությունը կամ բացակայությունը որոշելուց (այս փուլում դա դատարանի գործն է)՝ մենք հայտարարում ենք, որ վերոհիշյալ փաստերը հստակ վկայում են, որ Տիգրան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Ավինյանը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նպատակ է հետապնդել ոչ այնքան ճշտում կատարել, հերքել կամ պատասխանել հրապարակմանը, այլ պատժել, ճնշում գործադրել լրագրողի և լրատվամիջոցի վրա։ Իսկ դատավորը փաստորեն նպաստել է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Ավինյանի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այդ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մտադրություններին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։ Սա անթույլատրելի է, և համոզված ենք, որ այս աղաղակող փաստերը </w:t>
      </w:r>
      <w:r w:rsidRPr="000C0863">
        <w:rPr>
          <w:rFonts w:ascii="Sylfaen" w:hAnsi="Sylfaen"/>
          <w:sz w:val="24"/>
          <w:szCs w:val="24"/>
          <w:lang w:val="hy-AM"/>
        </w:rPr>
        <w:lastRenderedPageBreak/>
        <w:t xml:space="preserve">չեն վրիպի նաև միջազգային կազմակերպությունների ու փորձագետների աչքերից, քանի որ հակասում են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Եվրոպական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դատարանի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նախադեպային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որոշումներին։ Մասնավորապես, հայցի ապահովում կիրառելիս պետք է մանրամասն պատճառաբանվի դրա անհրաժեշտությունը՝ թե՛ հայցվորի, թե՛ դատարանի կողմից։ Մինչդեռ այս գործով հասկանալի չէ, թե ինչու է հայցվորը կարծել, իսկ դատարանը հաստատել նրա մոտեցումը, որ եթե պատասխանողի գույքի ու դրամական միջոցների վրա արգելանք չդրվի, դատական ակտը չի կարող կատարվել: Էլ չենք ասում, որ դատարանները պարտավոր են վիրավորանքի և զրպարտության գործերով հայցի ապահովում կիրառելիս պահպանել դրա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համաչափությունը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>, հաշվի առնել լրատվամիջոցի կանոնավոր գործունեության համար խոչընդոտներ չստեղծելու հանգամանքը, ինչը տվյալ դեպքում բացակայում է:</w:t>
      </w:r>
    </w:p>
    <w:p w:rsidR="000C0863" w:rsidRPr="000C0863" w:rsidRDefault="000C0863" w:rsidP="000C0863">
      <w:pPr>
        <w:spacing w:line="240" w:lineRule="auto"/>
        <w:rPr>
          <w:rFonts w:ascii="Sylfaen" w:hAnsi="Sylfaen"/>
          <w:sz w:val="24"/>
          <w:szCs w:val="24"/>
          <w:lang w:val="hy-AM"/>
        </w:rPr>
      </w:pPr>
      <w:r w:rsidRPr="000C0863">
        <w:rPr>
          <w:rFonts w:ascii="Sylfaen" w:hAnsi="Sylfaen"/>
          <w:sz w:val="24"/>
          <w:szCs w:val="24"/>
          <w:lang w:val="hy-AM"/>
        </w:rPr>
        <w:t xml:space="preserve">Համոզված ենք, որ այս դատական գործընթացի անընդունելի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դրսևորումների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մի մասը ուղիղ կապ ունի ՀՀ քաղաքացիական օրենսգրքի 1087.1 հոդվածում 2021 թվականի մարտի 24-ին իրականացված փոփոխությունների հետ, ըստ որոնց՝ վիրավորանքի և զրպարտության համար նախատեսվող դրամական փոխհատուցման վերին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շեմերը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եռապատկվեցին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>՝ դառնալով համապատասխանաբար 3 միլիոն և 6 միլիոն դրամ։</w:t>
      </w:r>
    </w:p>
    <w:p w:rsidR="000C0863" w:rsidRPr="000C0863" w:rsidRDefault="000C0863" w:rsidP="000C0863">
      <w:pPr>
        <w:spacing w:line="240" w:lineRule="auto"/>
        <w:rPr>
          <w:rFonts w:ascii="Sylfaen" w:hAnsi="Sylfaen"/>
          <w:sz w:val="24"/>
          <w:szCs w:val="24"/>
          <w:lang w:val="hy-AM"/>
        </w:rPr>
      </w:pPr>
      <w:r w:rsidRPr="000C0863">
        <w:rPr>
          <w:rFonts w:ascii="Sylfaen" w:hAnsi="Sylfaen"/>
          <w:sz w:val="24"/>
          <w:szCs w:val="24"/>
          <w:lang w:val="hy-AM"/>
        </w:rPr>
        <w:t xml:space="preserve">Մենք՝ ներքոստորագրյալ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կազմակերպություններս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, արտահայտելով մեր խորը մտահոգությունը Տիգրան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Ավինյանն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ընդդեմ «168 ժամ» ՍՊԸ-ի և լրագրող Դավիթ Սարգսյանի դատական գործընթացի առնչությամբ՝ պահանջում ենք</w:t>
      </w:r>
      <w:r w:rsidRPr="000C0863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:rsidR="000C0863" w:rsidRPr="000C0863" w:rsidRDefault="000C0863" w:rsidP="000C0863">
      <w:pPr>
        <w:pStyle w:val="ListParagraph"/>
        <w:numPr>
          <w:ilvl w:val="0"/>
          <w:numId w:val="18"/>
        </w:numPr>
        <w:spacing w:line="240" w:lineRule="auto"/>
        <w:rPr>
          <w:rFonts w:ascii="Sylfaen" w:hAnsi="Sylfaen"/>
          <w:sz w:val="24"/>
          <w:szCs w:val="24"/>
          <w:lang w:val="hy-AM"/>
        </w:rPr>
      </w:pPr>
      <w:proofErr w:type="spellStart"/>
      <w:r w:rsidRPr="000C0863">
        <w:rPr>
          <w:rFonts w:ascii="Sylfaen" w:hAnsi="Sylfaen"/>
          <w:sz w:val="24"/>
          <w:szCs w:val="24"/>
          <w:lang w:val="hy-AM"/>
        </w:rPr>
        <w:t>Երևանի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ընդհանուր իրավասության դատարանից՝ անհապաղ չեղարկել վերոհիշյալ գործով հայցի ապահովման միջոց կիրառելու որոշումը, հանել արգելանքը պատասխանողների գույքի և բանկային հաշիվների վրայից և անցնել բուն վեճի քննությանը,</w:t>
      </w:r>
    </w:p>
    <w:p w:rsidR="000C0863" w:rsidRPr="000C0863" w:rsidRDefault="000C0863" w:rsidP="000C0863">
      <w:pPr>
        <w:pStyle w:val="ListParagraph"/>
        <w:numPr>
          <w:ilvl w:val="0"/>
          <w:numId w:val="18"/>
        </w:numPr>
        <w:spacing w:line="240" w:lineRule="auto"/>
        <w:rPr>
          <w:rFonts w:ascii="Sylfaen" w:hAnsi="Sylfaen"/>
          <w:sz w:val="24"/>
          <w:szCs w:val="24"/>
          <w:lang w:val="hy-AM"/>
        </w:rPr>
      </w:pPr>
      <w:r w:rsidRPr="000C0863">
        <w:rPr>
          <w:rFonts w:ascii="Sylfaen" w:hAnsi="Sylfaen"/>
          <w:sz w:val="24"/>
          <w:szCs w:val="24"/>
          <w:lang w:val="hy-AM"/>
        </w:rPr>
        <w:t xml:space="preserve">Փոխքաղաքապետ Տիգրան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Ավինյանից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՝ որպես բարձրաստիճան պաշտոնյա, ցուցաբերել առավել հանդուրժողականություն,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դրսևորել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զբաղեցրած դիրքին առավել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հարիր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վարքագիծ և դատական գործում կենտրոնանալ իր մասին հրապարակման ճշգրտման ու, եթե հիմքեր կան, </w:t>
      </w:r>
      <w:proofErr w:type="spellStart"/>
      <w:r w:rsidRPr="000C0863">
        <w:rPr>
          <w:rFonts w:ascii="Sylfaen" w:hAnsi="Sylfaen"/>
          <w:sz w:val="24"/>
          <w:szCs w:val="24"/>
          <w:lang w:val="hy-AM"/>
        </w:rPr>
        <w:t>հերքման</w:t>
      </w:r>
      <w:proofErr w:type="spellEnd"/>
      <w:r w:rsidRPr="000C0863">
        <w:rPr>
          <w:rFonts w:ascii="Sylfaen" w:hAnsi="Sylfaen"/>
          <w:sz w:val="24"/>
          <w:szCs w:val="24"/>
          <w:lang w:val="hy-AM"/>
        </w:rPr>
        <w:t xml:space="preserve"> վրա, կամ, ինչը գերադասելի է, հետ վերցնել հայցը և խնդիրը լուծել արտադատական կարգով՝ դիմելով Տեղեկատվական վեճերի խորհուրդ կամ ԶԼՄ-ների ինքնակարգավորման Դիտորդ մարմին՝ փորձագիտական եզրակացություն ստանալու նպատակով։</w:t>
      </w:r>
    </w:p>
    <w:p w:rsidR="000C0863" w:rsidRPr="000C0863" w:rsidRDefault="000C0863" w:rsidP="000C0863">
      <w:pPr>
        <w:spacing w:line="240" w:lineRule="auto"/>
        <w:rPr>
          <w:rFonts w:ascii="Sylfaen" w:hAnsi="Sylfaen"/>
          <w:sz w:val="24"/>
          <w:szCs w:val="24"/>
          <w:lang w:val="hy-AM"/>
        </w:rPr>
      </w:pPr>
    </w:p>
    <w:p w:rsidR="000C0863" w:rsidRPr="000C0863" w:rsidRDefault="000C0863" w:rsidP="000C0863">
      <w:pPr>
        <w:spacing w:line="240" w:lineRule="auto"/>
        <w:rPr>
          <w:rFonts w:ascii="Sylfaen" w:hAnsi="Sylfaen"/>
          <w:sz w:val="24"/>
          <w:szCs w:val="24"/>
        </w:rPr>
      </w:pPr>
      <w:r w:rsidRPr="000C0863">
        <w:rPr>
          <w:rFonts w:ascii="Sylfaen" w:hAnsi="Sylfaen"/>
          <w:b/>
          <w:bCs/>
          <w:sz w:val="24"/>
          <w:szCs w:val="24"/>
        </w:rPr>
        <w:t>ԽՈՍՔԻ ԱԶԱՏՈՒԹՅԱՆ ՊԱՇՏՊԱՆՈՒԹՅԱՆ ԿՈՄԻՏԵ</w:t>
      </w:r>
    </w:p>
    <w:p w:rsidR="000C0863" w:rsidRPr="000C0863" w:rsidRDefault="000C0863" w:rsidP="000C0863">
      <w:pPr>
        <w:spacing w:line="240" w:lineRule="auto"/>
        <w:rPr>
          <w:rFonts w:ascii="Sylfaen" w:hAnsi="Sylfaen"/>
          <w:sz w:val="24"/>
          <w:szCs w:val="24"/>
        </w:rPr>
      </w:pPr>
      <w:r w:rsidRPr="000C0863">
        <w:rPr>
          <w:rFonts w:ascii="Sylfaen" w:hAnsi="Sylfaen"/>
          <w:b/>
          <w:bCs/>
          <w:sz w:val="24"/>
          <w:szCs w:val="24"/>
        </w:rPr>
        <w:t>ԵՐԵՎԱՆԻ ՄԱՄՈՒԼԻ ԱԿՈՒՄԲ</w:t>
      </w:r>
    </w:p>
    <w:p w:rsidR="000C0863" w:rsidRPr="000C0863" w:rsidRDefault="000C0863" w:rsidP="000C0863">
      <w:pPr>
        <w:spacing w:line="240" w:lineRule="auto"/>
        <w:rPr>
          <w:rFonts w:ascii="Sylfaen" w:hAnsi="Sylfaen"/>
          <w:sz w:val="24"/>
          <w:szCs w:val="24"/>
        </w:rPr>
      </w:pPr>
      <w:r w:rsidRPr="000C0863">
        <w:rPr>
          <w:rFonts w:ascii="Sylfaen" w:hAnsi="Sylfaen"/>
          <w:b/>
          <w:bCs/>
          <w:sz w:val="24"/>
          <w:szCs w:val="24"/>
        </w:rPr>
        <w:t>ՄԵԴԻԱ ՆԱԽԱՁԵՌՆՈՒԹՅՈՒՆՆԵՐԻ ԿԵՆՏՐՈՆ</w:t>
      </w:r>
    </w:p>
    <w:p w:rsidR="000C0863" w:rsidRPr="000C0863" w:rsidRDefault="000C0863" w:rsidP="000C0863">
      <w:pPr>
        <w:spacing w:line="240" w:lineRule="auto"/>
        <w:rPr>
          <w:rFonts w:ascii="Sylfaen" w:hAnsi="Sylfaen"/>
          <w:sz w:val="24"/>
          <w:szCs w:val="24"/>
        </w:rPr>
      </w:pPr>
      <w:r w:rsidRPr="000C0863">
        <w:rPr>
          <w:rFonts w:ascii="Sylfaen" w:hAnsi="Sylfaen"/>
          <w:b/>
          <w:bCs/>
          <w:sz w:val="24"/>
          <w:szCs w:val="24"/>
        </w:rPr>
        <w:t>ԲԱԶՄԱԿՈՂՄԱՆԻ ՏԵՂԵԿԱՏՎՈՒԹՅԱՆ ԻՆՍՏԻՏՈՒՏ-ՀԱՅԱՍՏԱՆ</w:t>
      </w:r>
    </w:p>
    <w:p w:rsidR="000C0863" w:rsidRPr="000C0863" w:rsidRDefault="000C0863" w:rsidP="000C0863">
      <w:pPr>
        <w:spacing w:line="240" w:lineRule="auto"/>
        <w:rPr>
          <w:rFonts w:ascii="Sylfaen" w:hAnsi="Sylfaen"/>
          <w:sz w:val="24"/>
          <w:szCs w:val="24"/>
        </w:rPr>
      </w:pPr>
      <w:r w:rsidRPr="000C0863">
        <w:rPr>
          <w:rFonts w:ascii="Sylfaen" w:hAnsi="Sylfaen"/>
          <w:b/>
          <w:bCs/>
          <w:sz w:val="24"/>
          <w:szCs w:val="24"/>
        </w:rPr>
        <w:t>ԼՐԱԳՐՈՂՆԵՐԻ «ԱՍՊԱՐԵԶ» ԱԿՈՒՄԲ</w:t>
      </w:r>
    </w:p>
    <w:p w:rsidR="000C0863" w:rsidRPr="000C0863" w:rsidRDefault="000C0863" w:rsidP="000C0863">
      <w:pPr>
        <w:spacing w:line="240" w:lineRule="auto"/>
        <w:rPr>
          <w:rFonts w:ascii="Sylfaen" w:hAnsi="Sylfaen"/>
          <w:sz w:val="24"/>
          <w:szCs w:val="24"/>
        </w:rPr>
      </w:pPr>
      <w:r w:rsidRPr="000C0863">
        <w:rPr>
          <w:rFonts w:ascii="Sylfaen" w:hAnsi="Sylfaen"/>
          <w:b/>
          <w:bCs/>
          <w:sz w:val="24"/>
          <w:szCs w:val="24"/>
        </w:rPr>
        <w:t>ԻՆՖՈՐՄԱՑԻԱՅԻ ԱԶԱՏՈՒԹՅԱՆ ԿԵՆՏՐՈՆ</w:t>
      </w:r>
    </w:p>
    <w:p w:rsidR="000C0863" w:rsidRPr="000C0863" w:rsidRDefault="000C0863" w:rsidP="000C0863">
      <w:pPr>
        <w:spacing w:line="240" w:lineRule="auto"/>
        <w:rPr>
          <w:rFonts w:ascii="Sylfaen" w:hAnsi="Sylfaen"/>
          <w:sz w:val="24"/>
          <w:szCs w:val="24"/>
        </w:rPr>
      </w:pPr>
      <w:r w:rsidRPr="000C0863">
        <w:rPr>
          <w:rFonts w:ascii="Sylfaen" w:hAnsi="Sylfaen"/>
          <w:b/>
          <w:bCs/>
          <w:sz w:val="24"/>
          <w:szCs w:val="24"/>
        </w:rPr>
        <w:t>ՀԱՆՐԱՅԻՆ ԼՐԱԳՐՈՒԹՅԱՆ ԱԿՈՒՄԲ</w:t>
      </w:r>
    </w:p>
    <w:p w:rsidR="000C0863" w:rsidRPr="000C0863" w:rsidRDefault="000C0863" w:rsidP="000C0863">
      <w:pPr>
        <w:spacing w:line="240" w:lineRule="auto"/>
        <w:rPr>
          <w:rFonts w:ascii="Sylfaen" w:hAnsi="Sylfaen"/>
          <w:sz w:val="24"/>
          <w:szCs w:val="24"/>
        </w:rPr>
      </w:pPr>
      <w:r w:rsidRPr="000C0863">
        <w:rPr>
          <w:rFonts w:ascii="Sylfaen" w:hAnsi="Sylfaen"/>
          <w:b/>
          <w:bCs/>
          <w:sz w:val="24"/>
          <w:szCs w:val="24"/>
        </w:rPr>
        <w:lastRenderedPageBreak/>
        <w:t>«ԼՐԱԳՐՈՂՆԵՐ ՀԱՆՈՒՆ ԱՊԱԳԱՅԻ» ՀԿ</w:t>
      </w:r>
    </w:p>
    <w:p w:rsidR="000C0863" w:rsidRPr="000C0863" w:rsidRDefault="000C0863" w:rsidP="000C0863">
      <w:pPr>
        <w:spacing w:line="240" w:lineRule="auto"/>
        <w:rPr>
          <w:rFonts w:ascii="Sylfaen" w:hAnsi="Sylfaen"/>
          <w:sz w:val="24"/>
          <w:szCs w:val="24"/>
        </w:rPr>
      </w:pPr>
      <w:r w:rsidRPr="000C0863">
        <w:rPr>
          <w:rFonts w:ascii="Sylfaen" w:hAnsi="Sylfaen"/>
          <w:b/>
          <w:bCs/>
          <w:sz w:val="24"/>
          <w:szCs w:val="24"/>
        </w:rPr>
        <w:t>«ԼՐԱԳՐՈՂՆԵՐ ՀԱՆՈՒՆ ՄԱՐԴՈՒ ԻՐԱՎՈՒՆՔՆԵՐԻ» ՀԿ</w:t>
      </w:r>
    </w:p>
    <w:p w:rsidR="000C0863" w:rsidRPr="000C0863" w:rsidRDefault="000C0863" w:rsidP="000C0863">
      <w:pPr>
        <w:spacing w:line="240" w:lineRule="auto"/>
        <w:rPr>
          <w:rFonts w:ascii="Sylfaen" w:hAnsi="Sylfaen"/>
          <w:sz w:val="24"/>
          <w:szCs w:val="24"/>
        </w:rPr>
      </w:pPr>
      <w:r w:rsidRPr="000C0863">
        <w:rPr>
          <w:rFonts w:ascii="Sylfaen" w:hAnsi="Sylfaen"/>
          <w:b/>
          <w:bCs/>
          <w:sz w:val="24"/>
          <w:szCs w:val="24"/>
        </w:rPr>
        <w:t>«ՖԵՄԻԴԱ» ՀԿ</w:t>
      </w:r>
    </w:p>
    <w:p w:rsidR="00BE6F58" w:rsidRPr="0074774F" w:rsidRDefault="00BE6F58" w:rsidP="00B35A57">
      <w:pPr>
        <w:spacing w:line="240" w:lineRule="auto"/>
        <w:rPr>
          <w:rFonts w:ascii="Sylfaen" w:eastAsia="Times New Roman" w:hAnsi="Sylfaen" w:cs="Segoe UI Historic"/>
          <w:color w:val="050505"/>
          <w:sz w:val="24"/>
          <w:szCs w:val="24"/>
          <w:lang w:val="hy-AM"/>
        </w:rPr>
      </w:pPr>
    </w:p>
    <w:sectPr w:rsidR="00BE6F58" w:rsidRPr="0074774F" w:rsidSect="0074774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B60CF"/>
    <w:multiLevelType w:val="hybridMultilevel"/>
    <w:tmpl w:val="87B837B0"/>
    <w:lvl w:ilvl="0" w:tplc="B21A06E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32A84"/>
    <w:multiLevelType w:val="hybridMultilevel"/>
    <w:tmpl w:val="8E1C3E4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94D16"/>
    <w:multiLevelType w:val="hybridMultilevel"/>
    <w:tmpl w:val="23E8D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AA5349"/>
    <w:multiLevelType w:val="hybridMultilevel"/>
    <w:tmpl w:val="D7988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852D2"/>
    <w:multiLevelType w:val="hybridMultilevel"/>
    <w:tmpl w:val="3C6EAE02"/>
    <w:lvl w:ilvl="0" w:tplc="D460DF1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94E58"/>
    <w:multiLevelType w:val="hybridMultilevel"/>
    <w:tmpl w:val="EE84D91C"/>
    <w:lvl w:ilvl="0" w:tplc="AA62EDC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93292"/>
    <w:multiLevelType w:val="hybridMultilevel"/>
    <w:tmpl w:val="93C4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A2085"/>
    <w:multiLevelType w:val="hybridMultilevel"/>
    <w:tmpl w:val="8E329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57ACD"/>
    <w:multiLevelType w:val="hybridMultilevel"/>
    <w:tmpl w:val="3A424792"/>
    <w:lvl w:ilvl="0" w:tplc="C526D7A4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60C18"/>
    <w:multiLevelType w:val="hybridMultilevel"/>
    <w:tmpl w:val="D7FECFAA"/>
    <w:lvl w:ilvl="0" w:tplc="F1F01C0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A06F2"/>
    <w:multiLevelType w:val="hybridMultilevel"/>
    <w:tmpl w:val="B1B88082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C60C7"/>
    <w:multiLevelType w:val="hybridMultilevel"/>
    <w:tmpl w:val="4D5AEA08"/>
    <w:lvl w:ilvl="0" w:tplc="85105452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A104D"/>
    <w:multiLevelType w:val="hybridMultilevel"/>
    <w:tmpl w:val="2E969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30BD0"/>
    <w:multiLevelType w:val="hybridMultilevel"/>
    <w:tmpl w:val="C964963A"/>
    <w:lvl w:ilvl="0" w:tplc="00FE7E88">
      <w:numFmt w:val="bullet"/>
      <w:lvlText w:val="•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C1501"/>
    <w:multiLevelType w:val="hybridMultilevel"/>
    <w:tmpl w:val="FC5AA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01233"/>
    <w:multiLevelType w:val="hybridMultilevel"/>
    <w:tmpl w:val="C974040E"/>
    <w:lvl w:ilvl="0" w:tplc="2A323F7E">
      <w:start w:val="6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C5749"/>
    <w:multiLevelType w:val="hybridMultilevel"/>
    <w:tmpl w:val="A2728D24"/>
    <w:lvl w:ilvl="0" w:tplc="34B2E88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614F0"/>
    <w:multiLevelType w:val="hybridMultilevel"/>
    <w:tmpl w:val="EFD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6"/>
  </w:num>
  <w:num w:numId="4">
    <w:abstractNumId w:val="0"/>
  </w:num>
  <w:num w:numId="5">
    <w:abstractNumId w:val="14"/>
  </w:num>
  <w:num w:numId="6">
    <w:abstractNumId w:val="8"/>
  </w:num>
  <w:num w:numId="7">
    <w:abstractNumId w:val="2"/>
  </w:num>
  <w:num w:numId="8">
    <w:abstractNumId w:val="4"/>
  </w:num>
  <w:num w:numId="9">
    <w:abstractNumId w:val="12"/>
  </w:num>
  <w:num w:numId="10">
    <w:abstractNumId w:val="10"/>
  </w:num>
  <w:num w:numId="11">
    <w:abstractNumId w:val="1"/>
  </w:num>
  <w:num w:numId="12">
    <w:abstractNumId w:val="13"/>
  </w:num>
  <w:num w:numId="13">
    <w:abstractNumId w:val="17"/>
  </w:num>
  <w:num w:numId="14">
    <w:abstractNumId w:val="9"/>
  </w:num>
  <w:num w:numId="15">
    <w:abstractNumId w:val="7"/>
  </w:num>
  <w:num w:numId="16">
    <w:abstractNumId w:val="11"/>
  </w:num>
  <w:num w:numId="17">
    <w:abstractNumId w:val="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07"/>
    <w:rsid w:val="000C0863"/>
    <w:rsid w:val="00122218"/>
    <w:rsid w:val="00140855"/>
    <w:rsid w:val="00197DFC"/>
    <w:rsid w:val="001E67F4"/>
    <w:rsid w:val="00201F4E"/>
    <w:rsid w:val="00207EBA"/>
    <w:rsid w:val="002451F8"/>
    <w:rsid w:val="0027329F"/>
    <w:rsid w:val="00297428"/>
    <w:rsid w:val="002D2A6A"/>
    <w:rsid w:val="002F0B5B"/>
    <w:rsid w:val="00301C84"/>
    <w:rsid w:val="0033072A"/>
    <w:rsid w:val="00355F76"/>
    <w:rsid w:val="0036705C"/>
    <w:rsid w:val="003A38A4"/>
    <w:rsid w:val="003C1178"/>
    <w:rsid w:val="003E29AC"/>
    <w:rsid w:val="00413750"/>
    <w:rsid w:val="00451E03"/>
    <w:rsid w:val="00462EAB"/>
    <w:rsid w:val="00467B79"/>
    <w:rsid w:val="004E5CC2"/>
    <w:rsid w:val="004E771C"/>
    <w:rsid w:val="004E7B8B"/>
    <w:rsid w:val="00593712"/>
    <w:rsid w:val="005B7D62"/>
    <w:rsid w:val="005E3565"/>
    <w:rsid w:val="00622E6F"/>
    <w:rsid w:val="006F183D"/>
    <w:rsid w:val="007036BD"/>
    <w:rsid w:val="0074774F"/>
    <w:rsid w:val="007779E5"/>
    <w:rsid w:val="0082306D"/>
    <w:rsid w:val="008513A9"/>
    <w:rsid w:val="008722EF"/>
    <w:rsid w:val="008C622C"/>
    <w:rsid w:val="008E2E54"/>
    <w:rsid w:val="008E58B9"/>
    <w:rsid w:val="008F54CF"/>
    <w:rsid w:val="00903922"/>
    <w:rsid w:val="00985B0A"/>
    <w:rsid w:val="00997107"/>
    <w:rsid w:val="009C13B2"/>
    <w:rsid w:val="009C399D"/>
    <w:rsid w:val="00A377B2"/>
    <w:rsid w:val="00A466E4"/>
    <w:rsid w:val="00A72A3C"/>
    <w:rsid w:val="00A839AA"/>
    <w:rsid w:val="00B1640F"/>
    <w:rsid w:val="00B1741E"/>
    <w:rsid w:val="00B35A57"/>
    <w:rsid w:val="00B43D1C"/>
    <w:rsid w:val="00B61542"/>
    <w:rsid w:val="00BE6F58"/>
    <w:rsid w:val="00BF447D"/>
    <w:rsid w:val="00C425FD"/>
    <w:rsid w:val="00C85939"/>
    <w:rsid w:val="00CC7A01"/>
    <w:rsid w:val="00D147E3"/>
    <w:rsid w:val="00D60C07"/>
    <w:rsid w:val="00D73958"/>
    <w:rsid w:val="00D751E0"/>
    <w:rsid w:val="00E04B0B"/>
    <w:rsid w:val="00E65A6B"/>
    <w:rsid w:val="00ED5C0E"/>
    <w:rsid w:val="00F0360E"/>
    <w:rsid w:val="00F54016"/>
    <w:rsid w:val="00F77637"/>
    <w:rsid w:val="00FB72DE"/>
    <w:rsid w:val="00FD78F9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847C8C"/>
  <w15:docId w15:val="{DE63D1DD-14F4-465B-971C-734B6B50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67B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B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67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2A6A"/>
    <w:pPr>
      <w:ind w:left="720"/>
      <w:contextualSpacing/>
    </w:pPr>
  </w:style>
  <w:style w:type="character" w:styleId="Strong">
    <w:name w:val="Strong"/>
    <w:uiPriority w:val="22"/>
    <w:qFormat/>
    <w:rsid w:val="00985B0A"/>
    <w:rPr>
      <w:b/>
      <w:bCs/>
    </w:rPr>
  </w:style>
  <w:style w:type="character" w:customStyle="1" w:styleId="il">
    <w:name w:val="il"/>
    <w:basedOn w:val="DefaultParagraphFont"/>
    <w:rsid w:val="00197DFC"/>
  </w:style>
  <w:style w:type="character" w:styleId="Hyperlink">
    <w:name w:val="Hyperlink"/>
    <w:basedOn w:val="DefaultParagraphFont"/>
    <w:uiPriority w:val="99"/>
    <w:unhideWhenUsed/>
    <w:rsid w:val="00A377B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23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8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6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80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6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565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0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600</Words>
  <Characters>4232</Characters>
  <Application>Microsoft Office Word</Application>
  <DocSecurity>0</DocSecurity>
  <Lines>79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</dc:creator>
  <cp:keywords/>
  <dc:description/>
  <cp:lastModifiedBy>Ani Darbinyan</cp:lastModifiedBy>
  <cp:revision>23</cp:revision>
  <dcterms:created xsi:type="dcterms:W3CDTF">2022-01-21T15:08:00Z</dcterms:created>
  <dcterms:modified xsi:type="dcterms:W3CDTF">2025-10-01T10:34:00Z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3080a959d192b1f56fc6037efa0e901f2651af3e4a011a0fd40f0065678c8230</vt:lpwstr>
  </property>
</Properties>
</file>