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64" w:rsidRPr="000D5461" w:rsidRDefault="00AD4E8B" w:rsidP="00E25D64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0D5461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 w:rsidRPr="000D5461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Առաջին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ալիքի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նախաամանորյա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եթերով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հակառակ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ձևավորված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ավանդույթի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չհեռարձակված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Վեհափառ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Հայրապետի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ուղերձի</w:t>
      </w:r>
      <w:proofErr w:type="spellEnd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5C23" w:rsidRPr="00AA5C2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E25D64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771933">
        <w:rPr>
          <w:rFonts w:ascii="Sylfaen" w:eastAsia="Times New Roman" w:hAnsi="Sylfaen" w:cs="Segoe UI Historic"/>
          <w:b/>
          <w:color w:val="050505"/>
        </w:rPr>
        <w:t>6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771933">
        <w:rPr>
          <w:rFonts w:ascii="Sylfaen" w:eastAsia="Times New Roman" w:hAnsi="Sylfaen" w:cs="Segoe UI Historic"/>
          <w:b/>
          <w:color w:val="050505"/>
          <w:lang w:val="hy-AM"/>
        </w:rPr>
        <w:t>հունվարի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t>Դեկտեմբերի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31-ին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հեռուստաընկերության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Առաջին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ալիքի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նախաամանորյա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եթերով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հակառակ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ձևավորված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ավանդույթի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չհեռարձակվեց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Վեհափառ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Հայրապետի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ուղերձը</w:t>
      </w:r>
      <w:proofErr w:type="spellEnd"/>
      <w:r w:rsidRPr="00F26B0E">
        <w:rPr>
          <w:rFonts w:ascii="Sylfaen" w:hAnsi="Sylfaen"/>
          <w:sz w:val="24"/>
          <w:szCs w:val="24"/>
        </w:rPr>
        <w:t xml:space="preserve">։ </w:t>
      </w:r>
      <w:proofErr w:type="spellStart"/>
      <w:r w:rsidRPr="00F26B0E">
        <w:rPr>
          <w:rFonts w:ascii="Sylfaen" w:hAnsi="Sylfaen"/>
          <w:sz w:val="24"/>
          <w:szCs w:val="24"/>
        </w:rPr>
        <w:t>Այս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փաստը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տոնական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օրերին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հասարակության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լայն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շրջանակների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քննարկման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թեմա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դարձավ</w:t>
      </w:r>
      <w:proofErr w:type="spellEnd"/>
      <w:r w:rsidRPr="00F26B0E">
        <w:rPr>
          <w:rFonts w:ascii="Sylfaen" w:hAnsi="Sylfaen"/>
          <w:sz w:val="24"/>
          <w:szCs w:val="24"/>
        </w:rPr>
        <w:t xml:space="preserve">։ </w:t>
      </w:r>
      <w:proofErr w:type="spellStart"/>
      <w:r w:rsidRPr="00F26B0E">
        <w:rPr>
          <w:rFonts w:ascii="Sylfaen" w:hAnsi="Sylfaen"/>
          <w:sz w:val="24"/>
          <w:szCs w:val="24"/>
        </w:rPr>
        <w:t>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մոտեցումը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հեռուստաընկերությունը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նախատեսել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էր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կիրառել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է՝ Ն.Ս.Օ.Տ.Տ.  </w:t>
      </w:r>
      <w:proofErr w:type="spellStart"/>
      <w:r w:rsidRPr="00F26B0E">
        <w:rPr>
          <w:rFonts w:ascii="Sylfaen" w:hAnsi="Sylfaen"/>
          <w:sz w:val="24"/>
          <w:szCs w:val="24"/>
        </w:rPr>
        <w:t>Ամենայն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Հայոց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կաթողիկոս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Գարեգին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Բ-ի </w:t>
      </w:r>
      <w:proofErr w:type="spellStart"/>
      <w:r w:rsidRPr="00F26B0E">
        <w:rPr>
          <w:rFonts w:ascii="Sylfaen" w:hAnsi="Sylfaen"/>
          <w:sz w:val="24"/>
          <w:szCs w:val="24"/>
        </w:rPr>
        <w:t>ուղերձը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եթերի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ամենադիտվող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հատվածներից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մեկում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՝ </w:t>
      </w:r>
      <w:proofErr w:type="spellStart"/>
      <w:r w:rsidRPr="00F26B0E">
        <w:rPr>
          <w:rFonts w:ascii="Sylfaen" w:hAnsi="Sylfaen"/>
          <w:sz w:val="24"/>
          <w:szCs w:val="24"/>
        </w:rPr>
        <w:t>պաշտոնական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համար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առանձնացված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ժամին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, և </w:t>
      </w:r>
      <w:proofErr w:type="spellStart"/>
      <w:r w:rsidRPr="00F26B0E">
        <w:rPr>
          <w:rFonts w:ascii="Sylfaen" w:hAnsi="Sylfaen"/>
          <w:sz w:val="24"/>
          <w:szCs w:val="24"/>
        </w:rPr>
        <w:t>ըստ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այդմ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Կաթողիկոսի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ելույթը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պետք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հաջորդեր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Սահմանադրությամբ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պետության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գլուխ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հանդիսացող</w:t>
      </w:r>
      <w:proofErr w:type="spellEnd"/>
      <w:r w:rsidRPr="00F26B0E">
        <w:rPr>
          <w:rFonts w:ascii="Sylfaen" w:hAnsi="Sylfaen"/>
          <w:sz w:val="24"/>
          <w:szCs w:val="24"/>
        </w:rPr>
        <w:t xml:space="preserve"> ՀՀ </w:t>
      </w:r>
      <w:proofErr w:type="spellStart"/>
      <w:r w:rsidRPr="00F26B0E">
        <w:rPr>
          <w:rFonts w:ascii="Sylfaen" w:hAnsi="Sylfaen"/>
          <w:sz w:val="24"/>
          <w:szCs w:val="24"/>
        </w:rPr>
        <w:t>նախագահի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ելույթին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դժվար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արդարացված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հիմնավորված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համարել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։ </w:t>
      </w:r>
      <w:proofErr w:type="spellStart"/>
      <w:r w:rsidRPr="00F26B0E">
        <w:rPr>
          <w:rFonts w:ascii="Sylfaen" w:hAnsi="Sylfaen"/>
          <w:sz w:val="24"/>
          <w:szCs w:val="24"/>
        </w:rPr>
        <w:t>Ինչպես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ավելի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ուշ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հայտնի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դարձավ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Մայր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Աթոռն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իր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անհամաձայնությունն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հայտնել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այդ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ձևաչափի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առնչությամբ</w:t>
      </w:r>
      <w:proofErr w:type="spellEnd"/>
      <w:r w:rsidRPr="00F26B0E">
        <w:rPr>
          <w:rFonts w:ascii="Sylfaen" w:hAnsi="Sylfaen"/>
          <w:sz w:val="24"/>
          <w:szCs w:val="24"/>
        </w:rPr>
        <w:t>։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t>Մենք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՝ </w:t>
      </w:r>
      <w:proofErr w:type="spellStart"/>
      <w:r w:rsidRPr="00F26B0E">
        <w:rPr>
          <w:rFonts w:ascii="Sylfaen" w:hAnsi="Sylfaen"/>
          <w:sz w:val="24"/>
          <w:szCs w:val="24"/>
        </w:rPr>
        <w:t>ներքոստորագրյալ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լրագրողական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կարծում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ավանդույթները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որոնք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գրեթե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պետական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արարողակարգի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բնույթ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ստացել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պետք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փոփոխության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ենթարկվեն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միայն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կարծիքի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ուսումնասիրության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հնարավոր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հետևանքների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վերլուծության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արդյունքում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։ Ի </w:t>
      </w:r>
      <w:proofErr w:type="spellStart"/>
      <w:r w:rsidRPr="00F26B0E">
        <w:rPr>
          <w:rFonts w:ascii="Sylfaen" w:hAnsi="Sylfaen"/>
          <w:sz w:val="24"/>
          <w:szCs w:val="24"/>
        </w:rPr>
        <w:t>գիտություն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ընդունելով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հեռարձակողի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խորհրդի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դիրքորոշումն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ամանորյա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վերաբերյալ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Հայաստանում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չկա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օրենսդրական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կարգավորում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, և </w:t>
      </w:r>
      <w:proofErr w:type="spellStart"/>
      <w:r w:rsidRPr="00F26B0E">
        <w:rPr>
          <w:rFonts w:ascii="Sylfaen" w:hAnsi="Sylfaen"/>
          <w:sz w:val="24"/>
          <w:szCs w:val="24"/>
        </w:rPr>
        <w:t>հենց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դա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պատճառը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յուրաքանչյուր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հեռուստաընկերություն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ինքն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որոշում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թե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երբ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ինչ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հերթականությամբ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դրանք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այնուամենայնիվ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պնդում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նախ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տվյալ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պարագայում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հեռարձակողին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տեղին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չէ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նույնացնել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«</w:t>
      </w:r>
      <w:proofErr w:type="spellStart"/>
      <w:r w:rsidRPr="00F26B0E">
        <w:rPr>
          <w:rFonts w:ascii="Sylfaen" w:hAnsi="Sylfaen"/>
          <w:sz w:val="24"/>
          <w:szCs w:val="24"/>
        </w:rPr>
        <w:t>յուրաքանչյուր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հեռուստաընկերության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» </w:t>
      </w:r>
      <w:proofErr w:type="spellStart"/>
      <w:r w:rsidRPr="00F26B0E">
        <w:rPr>
          <w:rFonts w:ascii="Sylfaen" w:hAnsi="Sylfaen"/>
          <w:sz w:val="24"/>
          <w:szCs w:val="24"/>
        </w:rPr>
        <w:t>հետ</w:t>
      </w:r>
      <w:proofErr w:type="spellEnd"/>
      <w:r w:rsidRPr="00F26B0E">
        <w:rPr>
          <w:rFonts w:ascii="Sylfaen" w:hAnsi="Sylfaen"/>
          <w:sz w:val="24"/>
          <w:szCs w:val="24"/>
        </w:rPr>
        <w:t xml:space="preserve">, և, </w:t>
      </w:r>
      <w:proofErr w:type="spellStart"/>
      <w:r w:rsidRPr="00F26B0E">
        <w:rPr>
          <w:rFonts w:ascii="Sylfaen" w:hAnsi="Sylfaen"/>
          <w:sz w:val="24"/>
          <w:szCs w:val="24"/>
        </w:rPr>
        <w:t>բացի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այդ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ներկայացված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փաստարկն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ընդունելի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կլիներ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եթե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Խորհուրդը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նախապես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հանդես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գար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նախաձեռնությամբ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հայտարարեր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դրա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մասին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թեման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դարձներ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բազմակողմանի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քննարկման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առարկա</w:t>
      </w:r>
      <w:proofErr w:type="spellEnd"/>
      <w:r w:rsidRPr="00F26B0E">
        <w:rPr>
          <w:rFonts w:ascii="Sylfaen" w:hAnsi="Sylfaen"/>
          <w:sz w:val="24"/>
          <w:szCs w:val="24"/>
        </w:rPr>
        <w:t xml:space="preserve">՝ </w:t>
      </w:r>
      <w:proofErr w:type="spellStart"/>
      <w:r w:rsidRPr="00F26B0E">
        <w:rPr>
          <w:rFonts w:ascii="Sylfaen" w:hAnsi="Sylfaen"/>
          <w:sz w:val="24"/>
          <w:szCs w:val="24"/>
        </w:rPr>
        <w:t>այդ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ընթացքում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պահպանելով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արմատավորված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պրակտիկան</w:t>
      </w:r>
      <w:proofErr w:type="spellEnd"/>
      <w:r w:rsidRPr="00F26B0E">
        <w:rPr>
          <w:rFonts w:ascii="Sylfaen" w:hAnsi="Sylfaen"/>
          <w:sz w:val="24"/>
          <w:szCs w:val="24"/>
        </w:rPr>
        <w:t>։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t>Կաթողիկոսի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ավանդական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ձևաչափով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չհեռարձակելու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կողմնակիցների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հիմնավորումը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Հայրապետը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եկեղեցին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այսօր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վայելում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հասարակության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հարգանքը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առիթ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ստեղծում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ի </w:t>
      </w:r>
      <w:proofErr w:type="spellStart"/>
      <w:r w:rsidRPr="00F26B0E">
        <w:rPr>
          <w:rFonts w:ascii="Sylfaen" w:hAnsi="Sylfaen"/>
          <w:sz w:val="24"/>
          <w:szCs w:val="24"/>
        </w:rPr>
        <w:t>պատասխան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խոսել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վարչապետի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վարկանիշի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հեռարձակողի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նկատմամբ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վստահության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Հայաստանի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անկախությունից</w:t>
      </w:r>
      <w:proofErr w:type="spellEnd"/>
      <w:r w:rsidRPr="00F26B0E">
        <w:rPr>
          <w:rFonts w:ascii="Sylfaen" w:hAnsi="Sylfaen"/>
          <w:sz w:val="24"/>
          <w:szCs w:val="24"/>
        </w:rPr>
        <w:t xml:space="preserve"> ի </w:t>
      </w:r>
      <w:proofErr w:type="spellStart"/>
      <w:r w:rsidRPr="00F26B0E">
        <w:rPr>
          <w:rFonts w:ascii="Sylfaen" w:hAnsi="Sylfaen"/>
          <w:sz w:val="24"/>
          <w:szCs w:val="24"/>
        </w:rPr>
        <w:t>վեր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ձևավորված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ավանդույթը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վերացնելու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իրավունքի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մասին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։ </w:t>
      </w:r>
      <w:proofErr w:type="spellStart"/>
      <w:r w:rsidRPr="00F26B0E">
        <w:rPr>
          <w:rFonts w:ascii="Sylfaen" w:hAnsi="Sylfaen"/>
          <w:sz w:val="24"/>
          <w:szCs w:val="24"/>
        </w:rPr>
        <w:t>Անհրաժեշտ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հասկանալ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Կառավարության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Հայ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առաքելական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եկեղեցու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միջև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ծագող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նման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հակասությունները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դրանցում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առկա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անցանկալի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քաղաքական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երանգները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կարող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նպաստել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կյանքի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առողջացմանը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այլ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հակառակը</w:t>
      </w:r>
      <w:proofErr w:type="spellEnd"/>
      <w:r w:rsidRPr="00F26B0E">
        <w:rPr>
          <w:rFonts w:ascii="Sylfaen" w:hAnsi="Sylfaen"/>
          <w:sz w:val="24"/>
          <w:szCs w:val="24"/>
        </w:rPr>
        <w:t xml:space="preserve">՝ </w:t>
      </w:r>
      <w:proofErr w:type="spellStart"/>
      <w:r w:rsidRPr="00F26B0E">
        <w:rPr>
          <w:rFonts w:ascii="Sylfaen" w:hAnsi="Sylfaen"/>
          <w:sz w:val="24"/>
          <w:szCs w:val="24"/>
        </w:rPr>
        <w:t>սնում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հասարակության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տարբեր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շրջանակների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միջև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ձևավորված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բևեռացումը</w:t>
      </w:r>
      <w:proofErr w:type="spellEnd"/>
      <w:r w:rsidRPr="00F26B0E">
        <w:rPr>
          <w:rFonts w:ascii="Sylfaen" w:hAnsi="Sylfaen"/>
          <w:sz w:val="24"/>
          <w:szCs w:val="24"/>
        </w:rPr>
        <w:t>։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sz w:val="24"/>
          <w:szCs w:val="24"/>
        </w:rPr>
        <w:t xml:space="preserve">Ի </w:t>
      </w:r>
      <w:proofErr w:type="spellStart"/>
      <w:r w:rsidRPr="00F26B0E">
        <w:rPr>
          <w:rFonts w:ascii="Sylfaen" w:hAnsi="Sylfaen"/>
          <w:sz w:val="24"/>
          <w:szCs w:val="24"/>
        </w:rPr>
        <w:t>գիտություն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ընդունում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նաև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հեռարձակողի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խորհրդին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ենթակա</w:t>
      </w:r>
      <w:proofErr w:type="spellEnd"/>
      <w:r w:rsidRPr="00F26B0E">
        <w:rPr>
          <w:rFonts w:ascii="Sylfaen" w:hAnsi="Sylfaen"/>
          <w:sz w:val="24"/>
          <w:szCs w:val="24"/>
        </w:rPr>
        <w:t xml:space="preserve"> «</w:t>
      </w:r>
      <w:proofErr w:type="spellStart"/>
      <w:r w:rsidRPr="00F26B0E">
        <w:rPr>
          <w:rFonts w:ascii="Sylfaen" w:hAnsi="Sylfaen"/>
          <w:sz w:val="24"/>
          <w:szCs w:val="24"/>
        </w:rPr>
        <w:t>Շողակաթ</w:t>
      </w:r>
      <w:proofErr w:type="spellEnd"/>
      <w:r w:rsidRPr="00F26B0E">
        <w:rPr>
          <w:rFonts w:ascii="Sylfaen" w:hAnsi="Sylfaen"/>
          <w:sz w:val="24"/>
          <w:szCs w:val="24"/>
        </w:rPr>
        <w:t xml:space="preserve">» </w:t>
      </w:r>
      <w:proofErr w:type="spellStart"/>
      <w:r w:rsidRPr="00F26B0E">
        <w:rPr>
          <w:rFonts w:ascii="Sylfaen" w:hAnsi="Sylfaen"/>
          <w:sz w:val="24"/>
          <w:szCs w:val="24"/>
        </w:rPr>
        <w:t>հեռուստաալիքի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ռադիոյի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եթերում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հնչել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Կաթողիկոսի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սակայն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այդ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փաստը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չի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լուծում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առաջացած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խնդիրը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պետք</w:t>
      </w:r>
      <w:proofErr w:type="spellEnd"/>
      <w:r w:rsidRPr="00F26B0E">
        <w:rPr>
          <w:rFonts w:ascii="Sylfaen" w:hAnsi="Sylfaen"/>
          <w:sz w:val="24"/>
          <w:szCs w:val="24"/>
        </w:rPr>
        <w:t xml:space="preserve"> է </w:t>
      </w:r>
      <w:proofErr w:type="spellStart"/>
      <w:r w:rsidRPr="00F26B0E">
        <w:rPr>
          <w:rFonts w:ascii="Sylfaen" w:hAnsi="Sylfaen"/>
          <w:sz w:val="24"/>
          <w:szCs w:val="24"/>
        </w:rPr>
        <w:t>դառնա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հետագա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քննարկումների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ողջամիտ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որոշումների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առիթ</w:t>
      </w:r>
      <w:proofErr w:type="spellEnd"/>
      <w:r w:rsidRPr="00F26B0E">
        <w:rPr>
          <w:rFonts w:ascii="Sylfaen" w:hAnsi="Sylfaen"/>
          <w:sz w:val="24"/>
          <w:szCs w:val="24"/>
        </w:rPr>
        <w:t>։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t>Ելնելով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վերոգրյալից</w:t>
      </w:r>
      <w:proofErr w:type="spellEnd"/>
      <w:r w:rsidRPr="00F26B0E">
        <w:rPr>
          <w:rFonts w:ascii="Sylfaen" w:hAnsi="Sylfaen"/>
          <w:sz w:val="24"/>
          <w:szCs w:val="24"/>
        </w:rPr>
        <w:t xml:space="preserve">՝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հեռարձակողի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խորհրդին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կոչ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անում</w:t>
      </w:r>
      <w:proofErr w:type="spellEnd"/>
      <w:r w:rsidRPr="00F26B0E">
        <w:rPr>
          <w:rFonts w:ascii="Times New Roman" w:hAnsi="Times New Roman" w:cs="Times New Roman"/>
          <w:sz w:val="24"/>
          <w:szCs w:val="24"/>
        </w:rPr>
        <w:t>․</w:t>
      </w:r>
    </w:p>
    <w:p w:rsidR="00F26B0E" w:rsidRPr="00F26B0E" w:rsidRDefault="00F26B0E" w:rsidP="00F26B0E">
      <w:pPr>
        <w:numPr>
          <w:ilvl w:val="0"/>
          <w:numId w:val="46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lastRenderedPageBreak/>
        <w:t>առավել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շրջահայացություն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դրսևորել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գործունեության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այն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ավանդույթների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նկատմամբ</w:t>
      </w:r>
      <w:proofErr w:type="spellEnd"/>
      <w:r w:rsidRPr="00F26B0E">
        <w:rPr>
          <w:rFonts w:ascii="Sylfaen" w:hAnsi="Sylfaen"/>
          <w:sz w:val="24"/>
          <w:szCs w:val="24"/>
        </w:rPr>
        <w:t xml:space="preserve">, </w:t>
      </w:r>
      <w:proofErr w:type="spellStart"/>
      <w:r w:rsidRPr="00F26B0E">
        <w:rPr>
          <w:rFonts w:ascii="Sylfaen" w:hAnsi="Sylfaen"/>
          <w:sz w:val="24"/>
          <w:szCs w:val="24"/>
        </w:rPr>
        <w:t>որոնք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ծայրահեղ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զգայուն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հասարակության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համար</w:t>
      </w:r>
      <w:proofErr w:type="spellEnd"/>
      <w:r w:rsidRPr="00F26B0E">
        <w:rPr>
          <w:rFonts w:ascii="Sylfaen" w:hAnsi="Sylfaen"/>
          <w:sz w:val="24"/>
          <w:szCs w:val="24"/>
        </w:rPr>
        <w:t xml:space="preserve">, և </w:t>
      </w:r>
      <w:proofErr w:type="spellStart"/>
      <w:r w:rsidRPr="00F26B0E">
        <w:rPr>
          <w:rFonts w:ascii="Sylfaen" w:hAnsi="Sylfaen"/>
          <w:sz w:val="24"/>
          <w:szCs w:val="24"/>
        </w:rPr>
        <w:t>դրանք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փոփոխելիս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հիմնվել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վստահելի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ուսումնասիրությունների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վերլուծությունների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վրա</w:t>
      </w:r>
      <w:proofErr w:type="spellEnd"/>
      <w:r w:rsidRPr="00F26B0E">
        <w:rPr>
          <w:rFonts w:ascii="Sylfaen" w:hAnsi="Sylfaen"/>
          <w:sz w:val="24"/>
          <w:szCs w:val="24"/>
        </w:rPr>
        <w:t>,</w:t>
      </w:r>
    </w:p>
    <w:p w:rsidR="00F26B0E" w:rsidRDefault="00F26B0E" w:rsidP="00F26B0E">
      <w:pPr>
        <w:numPr>
          <w:ilvl w:val="0"/>
          <w:numId w:val="46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F26B0E">
        <w:rPr>
          <w:rFonts w:ascii="Sylfaen" w:hAnsi="Sylfaen"/>
          <w:sz w:val="24"/>
          <w:szCs w:val="24"/>
        </w:rPr>
        <w:t>նախաձեռնել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</w:t>
      </w:r>
      <w:proofErr w:type="spellEnd"/>
      <w:r w:rsidRPr="00F26B0E">
        <w:rPr>
          <w:rFonts w:ascii="Sylfaen" w:hAnsi="Sylfaen"/>
          <w:sz w:val="24"/>
          <w:szCs w:val="24"/>
        </w:rPr>
        <w:t xml:space="preserve"> և </w:t>
      </w:r>
      <w:proofErr w:type="spellStart"/>
      <w:r w:rsidRPr="00F26B0E">
        <w:rPr>
          <w:rFonts w:ascii="Sylfaen" w:hAnsi="Sylfaen"/>
          <w:sz w:val="24"/>
          <w:szCs w:val="24"/>
        </w:rPr>
        <w:t>մասնագիտական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քննարկումներ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Հանրայինի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եթերում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Ամանորի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ուղերձները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հեռարձակելու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համար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օրենսդրական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փոփոխություններ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կատարելու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նպատակահարմարության</w:t>
      </w:r>
      <w:proofErr w:type="spellEnd"/>
      <w:r w:rsidRPr="00F26B0E">
        <w:rPr>
          <w:rFonts w:ascii="Sylfaen" w:hAnsi="Sylfaen"/>
          <w:sz w:val="24"/>
          <w:szCs w:val="24"/>
        </w:rPr>
        <w:t xml:space="preserve"> </w:t>
      </w:r>
      <w:proofErr w:type="spellStart"/>
      <w:r w:rsidRPr="00F26B0E">
        <w:rPr>
          <w:rFonts w:ascii="Sylfaen" w:hAnsi="Sylfaen"/>
          <w:sz w:val="24"/>
          <w:szCs w:val="24"/>
        </w:rPr>
        <w:t>վերաբերյալ</w:t>
      </w:r>
      <w:proofErr w:type="spellEnd"/>
      <w:r w:rsidRPr="00F26B0E">
        <w:rPr>
          <w:rFonts w:ascii="Sylfaen" w:hAnsi="Sylfaen"/>
          <w:sz w:val="24"/>
          <w:szCs w:val="24"/>
        </w:rPr>
        <w:t>։</w:t>
      </w:r>
    </w:p>
    <w:p w:rsidR="00F26B0E" w:rsidRPr="00F26B0E" w:rsidRDefault="00F26B0E" w:rsidP="00F26B0E">
      <w:pPr>
        <w:spacing w:line="240" w:lineRule="auto"/>
        <w:ind w:left="720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F26B0E" w:rsidRPr="00F26B0E" w:rsidRDefault="00F26B0E" w:rsidP="00F26B0E">
      <w:pPr>
        <w:spacing w:line="240" w:lineRule="auto"/>
        <w:rPr>
          <w:rFonts w:ascii="Sylfaen" w:hAnsi="Sylfaen"/>
          <w:sz w:val="24"/>
          <w:szCs w:val="24"/>
        </w:rPr>
      </w:pPr>
      <w:r w:rsidRPr="00F26B0E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E25D64" w:rsidRDefault="00BE6F58" w:rsidP="00E25D64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BE6F58" w:rsidRPr="00E25D64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0400"/>
    <w:multiLevelType w:val="hybridMultilevel"/>
    <w:tmpl w:val="3FF0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E748C"/>
    <w:multiLevelType w:val="hybridMultilevel"/>
    <w:tmpl w:val="D6A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10219"/>
    <w:multiLevelType w:val="multilevel"/>
    <w:tmpl w:val="2F7E8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D05E7"/>
    <w:multiLevelType w:val="hybridMultilevel"/>
    <w:tmpl w:val="2C7863F8"/>
    <w:lvl w:ilvl="0" w:tplc="2C562B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F5DA3"/>
    <w:multiLevelType w:val="hybridMultilevel"/>
    <w:tmpl w:val="FEDA771C"/>
    <w:lvl w:ilvl="0" w:tplc="1152E7C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821EF"/>
    <w:multiLevelType w:val="hybridMultilevel"/>
    <w:tmpl w:val="318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60C87"/>
    <w:multiLevelType w:val="hybridMultilevel"/>
    <w:tmpl w:val="AC3629A4"/>
    <w:lvl w:ilvl="0" w:tplc="57D87BD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16C"/>
    <w:multiLevelType w:val="hybridMultilevel"/>
    <w:tmpl w:val="023AD7FA"/>
    <w:lvl w:ilvl="0" w:tplc="09F6732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93577"/>
    <w:multiLevelType w:val="hybridMultilevel"/>
    <w:tmpl w:val="A5A8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3"/>
  </w:num>
  <w:num w:numId="3">
    <w:abstractNumId w:val="23"/>
  </w:num>
  <w:num w:numId="4">
    <w:abstractNumId w:val="12"/>
  </w:num>
  <w:num w:numId="5">
    <w:abstractNumId w:val="41"/>
  </w:num>
  <w:num w:numId="6">
    <w:abstractNumId w:val="26"/>
  </w:num>
  <w:num w:numId="7">
    <w:abstractNumId w:val="18"/>
  </w:num>
  <w:num w:numId="8">
    <w:abstractNumId w:val="21"/>
  </w:num>
  <w:num w:numId="9">
    <w:abstractNumId w:val="38"/>
  </w:num>
  <w:num w:numId="10">
    <w:abstractNumId w:val="31"/>
  </w:num>
  <w:num w:numId="11">
    <w:abstractNumId w:val="14"/>
  </w:num>
  <w:num w:numId="12">
    <w:abstractNumId w:val="40"/>
  </w:num>
  <w:num w:numId="13">
    <w:abstractNumId w:val="7"/>
  </w:num>
  <w:num w:numId="14">
    <w:abstractNumId w:val="35"/>
  </w:num>
  <w:num w:numId="15">
    <w:abstractNumId w:val="44"/>
  </w:num>
  <w:num w:numId="16">
    <w:abstractNumId w:val="13"/>
  </w:num>
  <w:num w:numId="17">
    <w:abstractNumId w:val="30"/>
  </w:num>
  <w:num w:numId="18">
    <w:abstractNumId w:val="10"/>
  </w:num>
  <w:num w:numId="19">
    <w:abstractNumId w:val="36"/>
  </w:num>
  <w:num w:numId="20">
    <w:abstractNumId w:val="17"/>
  </w:num>
  <w:num w:numId="21">
    <w:abstractNumId w:val="37"/>
  </w:num>
  <w:num w:numId="22">
    <w:abstractNumId w:val="34"/>
  </w:num>
  <w:num w:numId="23">
    <w:abstractNumId w:val="28"/>
  </w:num>
  <w:num w:numId="24">
    <w:abstractNumId w:val="0"/>
  </w:num>
  <w:num w:numId="25">
    <w:abstractNumId w:val="9"/>
  </w:num>
  <w:num w:numId="26">
    <w:abstractNumId w:val="29"/>
  </w:num>
  <w:num w:numId="27">
    <w:abstractNumId w:val="45"/>
  </w:num>
  <w:num w:numId="28">
    <w:abstractNumId w:val="2"/>
  </w:num>
  <w:num w:numId="29">
    <w:abstractNumId w:val="39"/>
  </w:num>
  <w:num w:numId="30">
    <w:abstractNumId w:val="22"/>
  </w:num>
  <w:num w:numId="31">
    <w:abstractNumId w:val="3"/>
  </w:num>
  <w:num w:numId="32">
    <w:abstractNumId w:val="11"/>
  </w:num>
  <w:num w:numId="33">
    <w:abstractNumId w:val="25"/>
  </w:num>
  <w:num w:numId="34">
    <w:abstractNumId w:val="8"/>
  </w:num>
  <w:num w:numId="35">
    <w:abstractNumId w:val="24"/>
  </w:num>
  <w:num w:numId="36">
    <w:abstractNumId w:val="4"/>
  </w:num>
  <w:num w:numId="37">
    <w:abstractNumId w:val="20"/>
  </w:num>
  <w:num w:numId="38">
    <w:abstractNumId w:val="19"/>
  </w:num>
  <w:num w:numId="39">
    <w:abstractNumId w:val="16"/>
  </w:num>
  <w:num w:numId="40">
    <w:abstractNumId w:val="5"/>
  </w:num>
  <w:num w:numId="41">
    <w:abstractNumId w:val="27"/>
  </w:num>
  <w:num w:numId="42">
    <w:abstractNumId w:val="33"/>
  </w:num>
  <w:num w:numId="43">
    <w:abstractNumId w:val="15"/>
  </w:num>
  <w:num w:numId="44">
    <w:abstractNumId w:val="1"/>
  </w:num>
  <w:num w:numId="45">
    <w:abstractNumId w:val="3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042ED0"/>
    <w:rsid w:val="000D5461"/>
    <w:rsid w:val="00122218"/>
    <w:rsid w:val="00140855"/>
    <w:rsid w:val="00142F4D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1933"/>
    <w:rsid w:val="007779E5"/>
    <w:rsid w:val="00791FB2"/>
    <w:rsid w:val="007A2E46"/>
    <w:rsid w:val="007F7EC0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A5C23"/>
    <w:rsid w:val="00AD4E8B"/>
    <w:rsid w:val="00AE230B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17349"/>
    <w:rsid w:val="00E25D64"/>
    <w:rsid w:val="00E65A6B"/>
    <w:rsid w:val="00E91910"/>
    <w:rsid w:val="00EB71F1"/>
    <w:rsid w:val="00ED56A8"/>
    <w:rsid w:val="00ED5C0E"/>
    <w:rsid w:val="00F0360E"/>
    <w:rsid w:val="00F26B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AFEF2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2999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75</cp:revision>
  <cp:lastPrinted>2023-04-04T09:45:00Z</cp:lastPrinted>
  <dcterms:created xsi:type="dcterms:W3CDTF">2022-01-21T15:08:00Z</dcterms:created>
  <dcterms:modified xsi:type="dcterms:W3CDTF">2025-09-18T10:31:00Z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